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山西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政法优秀新闻作品评选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参评作品报送须知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</w:p>
    <w:p>
      <w:pPr>
        <w:spacing w:line="59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一、作品要求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参评作品发表的时间为20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Cs w:val="32"/>
        </w:rPr>
        <w:t>年1月1日至2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022</w:t>
      </w:r>
      <w:r>
        <w:rPr>
          <w:rFonts w:hint="default" w:ascii="Times New Roman" w:hAnsi="Times New Roman" w:eastAsia="仿宋_GB2312" w:cs="Times New Roman"/>
          <w:szCs w:val="32"/>
        </w:rPr>
        <w:t>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各参评单位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</w:rPr>
        <w:t>最多报送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件系列（连续、组合）报道。</w:t>
      </w:r>
    </w:p>
    <w:p>
      <w:pPr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二、报送要求</w:t>
      </w:r>
    </w:p>
    <w:p>
      <w:p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（一）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纸质材料</w:t>
      </w:r>
    </w:p>
    <w:p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加盖推荐单位公章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Cs w:val="32"/>
        </w:rPr>
        <w:t>《推荐目录》（附件4）1份。同一项目的参评作品按照初评结果顺序填写。推荐参评作品数额不得超过《数额分配方案》（附件3）规定的分配数额，如超出分配数额，评选办公室将按《推荐目录》的顺序撤下排在后面的超额作品。</w:t>
      </w:r>
    </w:p>
    <w:p>
      <w:pPr>
        <w:numPr>
          <w:ilvl w:val="0"/>
          <w:numId w:val="1"/>
        </w:num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Cs w:val="32"/>
          <w:lang w:eastAsia="zh-CN"/>
        </w:rPr>
        <w:t>电子材料</w:t>
      </w:r>
    </w:p>
    <w:p>
      <w:pPr>
        <w:numPr>
          <w:ilvl w:val="0"/>
          <w:numId w:val="0"/>
        </w:numPr>
        <w:snapToGrid w:val="0"/>
        <w:spacing w:line="590" w:lineRule="exact"/>
        <w:ind w:left="627" w:leftChars="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．《推荐目录》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电子版。</w:t>
      </w:r>
    </w:p>
    <w:p>
      <w:pPr>
        <w:numPr>
          <w:ilvl w:val="0"/>
          <w:numId w:val="0"/>
        </w:numPr>
        <w:snapToGrid w:val="0"/>
        <w:spacing w:line="590" w:lineRule="exac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 xml:space="preserve">    2</w:t>
      </w:r>
      <w:r>
        <w:rPr>
          <w:rFonts w:hint="default" w:ascii="Times New Roman" w:hAnsi="Times New Roman" w:eastAsia="仿宋_GB2312" w:cs="Times New Roman"/>
          <w:szCs w:val="32"/>
        </w:rPr>
        <w:t>．《推荐表》电子版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，所有参评作品</w:t>
      </w:r>
      <w:r>
        <w:rPr>
          <w:rFonts w:hint="default" w:ascii="Times New Roman" w:hAnsi="Times New Roman" w:eastAsia="仿宋_GB2312" w:cs="Times New Roman"/>
          <w:szCs w:val="32"/>
        </w:rPr>
        <w:t>须提交二维码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（将参评作品原发网址生成二维码）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Cs w:val="32"/>
        </w:rPr>
        <w:t>．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文字</w:t>
      </w:r>
      <w:r>
        <w:rPr>
          <w:rFonts w:hint="default" w:ascii="Times New Roman" w:hAnsi="Times New Roman" w:eastAsia="仿宋_GB2312" w:cs="Times New Roman"/>
          <w:szCs w:val="32"/>
        </w:rPr>
        <w:t>类作品发表所在版面电子版（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PDF文件</w:t>
      </w:r>
      <w:r>
        <w:rPr>
          <w:rFonts w:hint="default" w:ascii="Times New Roman" w:hAnsi="Times New Roman" w:eastAsia="仿宋_GB2312" w:cs="Times New Roman"/>
          <w:szCs w:val="32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．广播电台、电视台类作品原版播出作品复制为数据文件，文件名以参评项目+标题命名，如“广播专题 XXX”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系列（连续、组合）报道代表作的音视频文件须在文件名末端注明代表作序号，如“广播系列 XXX 代表作1”。广播作品复制为音质效果好的WAV或MP3格式文件；电视作品复制为高清晰的AVI或MP4格式文件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．《系列、连续、组合报道作品完整目录》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电子版，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系列报道、连续报道把整组报道划分为开头、中间和结尾3个阶段，从每个阶段中各选择1篇，共3篇为代表作；组合报道从整组报道中选择3篇代表作。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Cs w:val="32"/>
        </w:rPr>
        <w:t>．摄影类作品发表所在版面电子版（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PDF文件</w:t>
      </w:r>
      <w:r>
        <w:rPr>
          <w:rFonts w:hint="default" w:ascii="Times New Roman" w:hAnsi="Times New Roman" w:eastAsia="仿宋_GB2312" w:cs="Times New Roman"/>
          <w:szCs w:val="32"/>
        </w:rPr>
        <w:t>），数字照片像素为1422×800至3558×2490之间，不小于1M的RGB模式JPEG文件。</w:t>
      </w:r>
    </w:p>
    <w:p>
      <w:pPr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Cs w:val="32"/>
        </w:rPr>
        <w:t>．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媒体融合类作品，须在《推荐表》中“发布账号（APP）”栏填报规范名称；“社会效果”栏填写作品传播平台、渠道，以及作品点击量、转发量、受众参与度等情况，可另附策划文案。参评“移动直播”奖项，须附1份1000字以内的直播简介，包括直播意义、直播流程和规模、直播点设定和社会影响等内容。</w:t>
      </w:r>
      <w:r>
        <w:rPr>
          <w:rFonts w:hint="default" w:ascii="Times New Roman" w:hAnsi="Times New Roman" w:eastAsia="仿宋_GB2312" w:cs="Times New Roman"/>
          <w:szCs w:val="32"/>
        </w:rPr>
        <w:t>参评国际传播奖项的作品，应提供在境外媒体落地（转载、引用、采用）的网页、音频、视频等依据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。</w:t>
      </w:r>
    </w:p>
    <w:p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Cs w:val="32"/>
        </w:rPr>
        <w:t>．各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Cs w:val="32"/>
        </w:rPr>
        <w:t>委政法委组织初评工作的情况。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以上电子材料储存在U盘后寄送。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三、报送方式</w:t>
      </w:r>
    </w:p>
    <w:p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（一）所有参评作品的纸质材料请</w:t>
      </w:r>
      <w:r>
        <w:rPr>
          <w:rFonts w:hint="eastAsia" w:ascii="Times New Roman" w:hAnsi="Times New Roman" w:eastAsia="仿宋_GB2312" w:cs="Times New Roman"/>
          <w:lang w:val="en-US" w:eastAsia="zh-CN"/>
        </w:rPr>
        <w:t>机要交换</w:t>
      </w:r>
      <w:r>
        <w:rPr>
          <w:rFonts w:hint="default" w:ascii="Times New Roman" w:hAnsi="Times New Roman" w:eastAsia="仿宋_GB2312" w:cs="Times New Roman"/>
        </w:rPr>
        <w:t>或快递至</w:t>
      </w:r>
      <w:r>
        <w:rPr>
          <w:rFonts w:hint="eastAsia" w:ascii="Times New Roman" w:hAnsi="Times New Roman" w:eastAsia="仿宋_GB2312" w:cs="Times New Roman"/>
          <w:lang w:val="en-US" w:eastAsia="zh-CN"/>
        </w:rPr>
        <w:t>山西省委政法委宣教处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（二）请于20</w:t>
      </w:r>
      <w:r>
        <w:rPr>
          <w:rFonts w:hint="eastAsia" w:ascii="Times New Roman" w:hAnsi="Times New Roman" w:eastAsia="仿宋_GB2312" w:cs="Times New Roman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</w:rPr>
        <w:t>日前完成初评推荐作品报送工作，逾期不报视为自动弃权。</w:t>
      </w:r>
    </w:p>
    <w:p>
      <w:pPr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（三）交换地址：</w:t>
      </w:r>
      <w:r>
        <w:rPr>
          <w:rFonts w:hint="eastAsia" w:ascii="Times New Roman" w:hAnsi="Times New Roman" w:eastAsia="仿宋_GB2312" w:cs="Times New Roman"/>
          <w:lang w:val="en-US" w:eastAsia="zh-CN"/>
        </w:rPr>
        <w:t>山西省委政法委宣教处</w:t>
      </w:r>
      <w:r>
        <w:rPr>
          <w:rFonts w:hint="default" w:ascii="Times New Roman" w:hAnsi="Times New Roman" w:eastAsia="仿宋_GB2312" w:cs="Times New Roman"/>
        </w:rPr>
        <w:t>；寄送地址：</w:t>
      </w:r>
      <w:r>
        <w:rPr>
          <w:rFonts w:hint="eastAsia" w:ascii="Times New Roman" w:hAnsi="Times New Roman" w:eastAsia="仿宋_GB2312" w:cs="Times New Roman"/>
          <w:lang w:val="en-US" w:eastAsia="zh-CN"/>
        </w:rPr>
        <w:t>太原市迎泽大街369号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snapToGrid w:val="0"/>
        <w:spacing w:line="590" w:lineRule="exact"/>
        <w:ind w:firstLine="592" w:firstLineChars="185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邮政编码：</w:t>
      </w:r>
      <w:r>
        <w:rPr>
          <w:rFonts w:hint="eastAsia" w:ascii="Times New Roman" w:hAnsi="Times New Roman" w:eastAsia="仿宋_GB2312" w:cs="Times New Roman"/>
          <w:lang w:val="en-US" w:eastAsia="zh-CN"/>
        </w:rPr>
        <w:t>030071</w:t>
      </w:r>
    </w:p>
    <w:p>
      <w:pPr>
        <w:snapToGrid w:val="0"/>
        <w:spacing w:line="590" w:lineRule="exact"/>
        <w:ind w:firstLine="592" w:firstLineChars="185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联系人：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赵炳利  0351-4018711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EB9EA9"/>
    <w:multiLevelType w:val="singleLevel"/>
    <w:tmpl w:val="6DEB9EA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DNmMDNiNDJkZDBjMTcyZWU1MjVjNjI1M2E0YTcifQ=="/>
  </w:docVars>
  <w:rsids>
    <w:rsidRoot w:val="1F345F26"/>
    <w:rsid w:val="1F345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2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2023-03-13T12:49:00Z</dcterms:created>
  <dc:creator>Administrator</dc:creator>
  <cp:lastModifiedBy>Administrator</cp:lastModifiedBy>
  <dcterms:modified xsi:type="dcterms:W3CDTF">2023-03-13T12:50:34Z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F4258DA0615447CFB43264F8C969C0E1</vt:lpwstr>
  </property>
</Properties>
</file>